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55" w:rsidRPr="00550342" w:rsidRDefault="00DB7255">
      <w:pPr>
        <w:rPr>
          <w:sz w:val="24"/>
          <w:szCs w:val="24"/>
        </w:rPr>
      </w:pPr>
    </w:p>
    <w:p w:rsidR="008B2A89" w:rsidRPr="00550342" w:rsidRDefault="00DB7255" w:rsidP="00DB7255">
      <w:pPr>
        <w:jc w:val="center"/>
        <w:rPr>
          <w:sz w:val="28"/>
          <w:szCs w:val="28"/>
        </w:rPr>
      </w:pPr>
      <w:r w:rsidRPr="00550342">
        <w:rPr>
          <w:sz w:val="28"/>
          <w:szCs w:val="28"/>
        </w:rPr>
        <w:t>2910 Georgia Avenue, NW Alternative Selection Process</w:t>
      </w:r>
    </w:p>
    <w:p w:rsidR="00DB7255" w:rsidRPr="00550342" w:rsidRDefault="00DB7255" w:rsidP="00DB7255">
      <w:pPr>
        <w:rPr>
          <w:sz w:val="24"/>
          <w:szCs w:val="24"/>
        </w:rPr>
      </w:pPr>
    </w:p>
    <w:p w:rsidR="00855286" w:rsidRPr="00550342" w:rsidRDefault="00855286" w:rsidP="00DB7255">
      <w:pPr>
        <w:rPr>
          <w:b/>
          <w:smallCaps/>
          <w:sz w:val="24"/>
          <w:szCs w:val="24"/>
        </w:rPr>
      </w:pPr>
      <w:r w:rsidRPr="00550342">
        <w:rPr>
          <w:b/>
          <w:smallCaps/>
          <w:sz w:val="24"/>
          <w:szCs w:val="24"/>
        </w:rPr>
        <w:t>Unit and Income Information</w:t>
      </w:r>
    </w:p>
    <w:p w:rsidR="00855286" w:rsidRPr="00550342" w:rsidRDefault="00DB7255" w:rsidP="00DB7255">
      <w:pPr>
        <w:rPr>
          <w:sz w:val="24"/>
          <w:szCs w:val="24"/>
        </w:rPr>
      </w:pPr>
      <w:r w:rsidRPr="00550342">
        <w:rPr>
          <w:sz w:val="24"/>
          <w:szCs w:val="24"/>
        </w:rPr>
        <w:t>DHCD has established an Alternativ</w:t>
      </w:r>
      <w:bookmarkStart w:id="0" w:name="_GoBack"/>
      <w:bookmarkEnd w:id="0"/>
      <w:r w:rsidRPr="00550342">
        <w:rPr>
          <w:sz w:val="24"/>
          <w:szCs w:val="24"/>
        </w:rPr>
        <w:t>e Selection Procedure for the selection of Households eligible to purchase the two (2) Inclusionary Units at 2910 Georgia Avenue NW, Washington, District of Columbia</w:t>
      </w:r>
      <w:r w:rsidR="00855286" w:rsidRPr="00550342">
        <w:rPr>
          <w:sz w:val="24"/>
          <w:szCs w:val="24"/>
        </w:rPr>
        <w:t>:</w:t>
      </w:r>
    </w:p>
    <w:p w:rsidR="00855286" w:rsidRPr="00550342" w:rsidRDefault="00DB7255" w:rsidP="00F85E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0342">
        <w:rPr>
          <w:sz w:val="24"/>
          <w:szCs w:val="24"/>
        </w:rPr>
        <w:t xml:space="preserve">Inclusionary Unit #C-02 is a two bedroom unit and is reserved for a Low-Income Household. The maximum purchase price for Inclusionary Unit #C-02 is $145,200. </w:t>
      </w:r>
    </w:p>
    <w:p w:rsidR="00855286" w:rsidRPr="00550342" w:rsidRDefault="00DB7255" w:rsidP="00F85E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0342">
        <w:rPr>
          <w:sz w:val="24"/>
          <w:szCs w:val="24"/>
        </w:rPr>
        <w:t xml:space="preserve">Inclusionary Unit #202 is a two bedroom unit and is reserved for a Moderate-Income Household. The maximum purchase price for Inclusionary Unit #202 is $271,200. </w:t>
      </w:r>
    </w:p>
    <w:p w:rsidR="00DB7255" w:rsidRPr="00550342" w:rsidRDefault="00550342" w:rsidP="00855286">
      <w:pPr>
        <w:rPr>
          <w:sz w:val="24"/>
          <w:szCs w:val="24"/>
        </w:rPr>
      </w:pPr>
      <w:r w:rsidRPr="00550342">
        <w:rPr>
          <w:sz w:val="24"/>
          <w:szCs w:val="24"/>
        </w:rPr>
        <w:t xml:space="preserve">The </w:t>
      </w:r>
      <w:r w:rsidR="00DB7255" w:rsidRPr="00550342">
        <w:rPr>
          <w:sz w:val="24"/>
          <w:szCs w:val="24"/>
        </w:rPr>
        <w:t>Alternative Selection Procedure Notice</w:t>
      </w:r>
      <w:r w:rsidRPr="00550342">
        <w:rPr>
          <w:sz w:val="24"/>
          <w:szCs w:val="24"/>
        </w:rPr>
        <w:t>s</w:t>
      </w:r>
      <w:r w:rsidR="00DB7255" w:rsidRPr="00550342">
        <w:rPr>
          <w:sz w:val="24"/>
          <w:szCs w:val="24"/>
        </w:rPr>
        <w:t xml:space="preserve"> </w:t>
      </w:r>
      <w:r w:rsidRPr="00550342">
        <w:rPr>
          <w:sz w:val="24"/>
          <w:szCs w:val="24"/>
        </w:rPr>
        <w:t xml:space="preserve">were </w:t>
      </w:r>
      <w:r w:rsidR="00DB7255" w:rsidRPr="00550342">
        <w:rPr>
          <w:sz w:val="24"/>
          <w:szCs w:val="24"/>
        </w:rPr>
        <w:t>published in the DC Register on September 12, 2014</w:t>
      </w:r>
      <w:r w:rsidRPr="00550342">
        <w:rPr>
          <w:sz w:val="24"/>
          <w:szCs w:val="24"/>
        </w:rPr>
        <w:t>, October 31, 2014 and December 12, 2014. The deadline to submit documents is February 27, 2015.</w:t>
      </w:r>
    </w:p>
    <w:p w:rsidR="00DB7255" w:rsidRPr="00550342" w:rsidRDefault="00DB7255" w:rsidP="00DB7255">
      <w:pPr>
        <w:rPr>
          <w:sz w:val="24"/>
          <w:szCs w:val="24"/>
        </w:rPr>
      </w:pPr>
      <w:r w:rsidRPr="00550342">
        <w:rPr>
          <w:sz w:val="24"/>
          <w:szCs w:val="24"/>
        </w:rPr>
        <w:t>Eligible households must consist of at least two (2) persons and cannot have more than four (4) persons. Household income levels must be at or below the maximum levels for a Low-Income Household or a Moderate-Income Household.  Maximum income limits</w:t>
      </w:r>
      <w:r w:rsidR="00855286" w:rsidRPr="00550342">
        <w:rPr>
          <w:sz w:val="24"/>
          <w:szCs w:val="24"/>
        </w:rPr>
        <w:t xml:space="preserve"> – </w:t>
      </w:r>
      <w:r w:rsidRPr="00550342">
        <w:rPr>
          <w:sz w:val="24"/>
          <w:szCs w:val="24"/>
        </w:rPr>
        <w:t>corresponding with the household size</w:t>
      </w:r>
      <w:r w:rsidR="00855286" w:rsidRPr="00550342">
        <w:rPr>
          <w:sz w:val="24"/>
          <w:szCs w:val="24"/>
        </w:rPr>
        <w:t xml:space="preserve"> </w:t>
      </w:r>
      <w:r w:rsidR="00F85E04" w:rsidRPr="00550342">
        <w:rPr>
          <w:sz w:val="24"/>
          <w:szCs w:val="24"/>
        </w:rPr>
        <w:t>– are</w:t>
      </w:r>
      <w:r w:rsidRPr="00550342">
        <w:rPr>
          <w:sz w:val="24"/>
          <w:szCs w:val="24"/>
        </w:rPr>
        <w:t xml:space="preserve"> listed in the tables below: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DB7255" w:rsidRPr="00550342" w:rsidTr="007A645A">
        <w:tc>
          <w:tcPr>
            <w:tcW w:w="3192" w:type="dxa"/>
            <w:vAlign w:val="center"/>
          </w:tcPr>
          <w:p w:rsidR="00DB7255" w:rsidRPr="00550342" w:rsidRDefault="00DB7255" w:rsidP="007A645A">
            <w:pPr>
              <w:jc w:val="center"/>
              <w:rPr>
                <w:b/>
                <w:sz w:val="24"/>
                <w:szCs w:val="24"/>
              </w:rPr>
            </w:pPr>
            <w:r w:rsidRPr="00550342">
              <w:rPr>
                <w:b/>
                <w:sz w:val="24"/>
                <w:szCs w:val="24"/>
              </w:rPr>
              <w:t>Household Size</w:t>
            </w:r>
          </w:p>
        </w:tc>
        <w:tc>
          <w:tcPr>
            <w:tcW w:w="3192" w:type="dxa"/>
            <w:vAlign w:val="center"/>
          </w:tcPr>
          <w:p w:rsidR="00DB7255" w:rsidRPr="00550342" w:rsidRDefault="00DB7255" w:rsidP="007A645A">
            <w:pPr>
              <w:jc w:val="center"/>
              <w:rPr>
                <w:b/>
                <w:sz w:val="24"/>
                <w:szCs w:val="24"/>
              </w:rPr>
            </w:pPr>
            <w:r w:rsidRPr="00550342">
              <w:rPr>
                <w:b/>
                <w:sz w:val="24"/>
                <w:szCs w:val="24"/>
              </w:rPr>
              <w:t>Low-Income Household Maximum Income Limits</w:t>
            </w:r>
          </w:p>
        </w:tc>
        <w:tc>
          <w:tcPr>
            <w:tcW w:w="3534" w:type="dxa"/>
            <w:vAlign w:val="center"/>
          </w:tcPr>
          <w:p w:rsidR="00DB7255" w:rsidRPr="00550342" w:rsidRDefault="00DB7255" w:rsidP="007A645A">
            <w:pPr>
              <w:jc w:val="center"/>
              <w:rPr>
                <w:b/>
                <w:sz w:val="24"/>
                <w:szCs w:val="24"/>
              </w:rPr>
            </w:pPr>
            <w:r w:rsidRPr="00550342">
              <w:rPr>
                <w:b/>
                <w:sz w:val="24"/>
                <w:szCs w:val="24"/>
              </w:rPr>
              <w:t>Moderate-Income Household Maximum Income Limits</w:t>
            </w:r>
          </w:p>
        </w:tc>
      </w:tr>
      <w:tr w:rsidR="00DB7255" w:rsidRPr="00550342" w:rsidTr="007A645A">
        <w:tc>
          <w:tcPr>
            <w:tcW w:w="3192" w:type="dxa"/>
            <w:vAlign w:val="bottom"/>
          </w:tcPr>
          <w:p w:rsidR="00DB7255" w:rsidRPr="00550342" w:rsidRDefault="00DB7255" w:rsidP="007A645A">
            <w:pPr>
              <w:jc w:val="center"/>
              <w:rPr>
                <w:sz w:val="24"/>
                <w:szCs w:val="24"/>
              </w:rPr>
            </w:pPr>
            <w:r w:rsidRPr="00550342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bottom"/>
          </w:tcPr>
          <w:p w:rsidR="00DB7255" w:rsidRPr="00550342" w:rsidRDefault="00DB7255" w:rsidP="005503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50342">
              <w:rPr>
                <w:sz w:val="24"/>
                <w:szCs w:val="24"/>
              </w:rPr>
              <w:t>$4</w:t>
            </w:r>
            <w:r w:rsidR="00550342" w:rsidRPr="00550342">
              <w:rPr>
                <w:sz w:val="24"/>
                <w:szCs w:val="24"/>
              </w:rPr>
              <w:t>2</w:t>
            </w:r>
            <w:r w:rsidRPr="00550342">
              <w:rPr>
                <w:sz w:val="24"/>
                <w:szCs w:val="24"/>
              </w:rPr>
              <w:t>,</w:t>
            </w:r>
            <w:r w:rsidR="00550342" w:rsidRPr="00550342">
              <w:rPr>
                <w:sz w:val="24"/>
                <w:szCs w:val="24"/>
              </w:rPr>
              <w:t>800</w:t>
            </w:r>
            <w:r w:rsidRPr="00550342">
              <w:rPr>
                <w:sz w:val="24"/>
                <w:szCs w:val="24"/>
              </w:rPr>
              <w:t>.</w:t>
            </w:r>
            <w:r w:rsidRPr="0055034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34" w:type="dxa"/>
            <w:vAlign w:val="bottom"/>
          </w:tcPr>
          <w:p w:rsidR="00DB7255" w:rsidRPr="00550342" w:rsidRDefault="00DB7255" w:rsidP="005503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50342">
              <w:rPr>
                <w:sz w:val="24"/>
                <w:szCs w:val="24"/>
              </w:rPr>
              <w:t>$68,</w:t>
            </w:r>
            <w:r w:rsidR="00550342" w:rsidRPr="00550342">
              <w:rPr>
                <w:sz w:val="24"/>
                <w:szCs w:val="24"/>
              </w:rPr>
              <w:t>480</w:t>
            </w:r>
            <w:r w:rsidRPr="00550342">
              <w:rPr>
                <w:sz w:val="24"/>
                <w:szCs w:val="24"/>
              </w:rPr>
              <w:t>.</w:t>
            </w:r>
            <w:r w:rsidRPr="00550342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DB7255" w:rsidRPr="00550342" w:rsidTr="007A645A">
        <w:tc>
          <w:tcPr>
            <w:tcW w:w="3192" w:type="dxa"/>
            <w:vAlign w:val="bottom"/>
          </w:tcPr>
          <w:p w:rsidR="00DB7255" w:rsidRPr="00550342" w:rsidRDefault="00DB7255" w:rsidP="007A645A">
            <w:pPr>
              <w:jc w:val="center"/>
              <w:rPr>
                <w:sz w:val="24"/>
                <w:szCs w:val="24"/>
              </w:rPr>
            </w:pPr>
            <w:r w:rsidRPr="00550342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bottom"/>
          </w:tcPr>
          <w:p w:rsidR="00DB7255" w:rsidRPr="00550342" w:rsidRDefault="00DB7255" w:rsidP="005503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50342">
              <w:rPr>
                <w:sz w:val="24"/>
                <w:szCs w:val="24"/>
              </w:rPr>
              <w:t>$48,</w:t>
            </w:r>
            <w:r w:rsidR="00550342" w:rsidRPr="00550342">
              <w:rPr>
                <w:sz w:val="24"/>
                <w:szCs w:val="24"/>
              </w:rPr>
              <w:t>150</w:t>
            </w:r>
            <w:r w:rsidRPr="00550342">
              <w:rPr>
                <w:sz w:val="24"/>
                <w:szCs w:val="24"/>
              </w:rPr>
              <w:t>.</w:t>
            </w:r>
            <w:r w:rsidRPr="0055034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34" w:type="dxa"/>
            <w:vAlign w:val="bottom"/>
          </w:tcPr>
          <w:p w:rsidR="00DB7255" w:rsidRPr="00550342" w:rsidRDefault="00DB7255" w:rsidP="005503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50342">
              <w:rPr>
                <w:sz w:val="24"/>
                <w:szCs w:val="24"/>
              </w:rPr>
              <w:t>$77,</w:t>
            </w:r>
            <w:r w:rsidR="00550342" w:rsidRPr="00550342">
              <w:rPr>
                <w:sz w:val="24"/>
                <w:szCs w:val="24"/>
              </w:rPr>
              <w:t>040</w:t>
            </w:r>
            <w:r w:rsidRPr="00550342">
              <w:rPr>
                <w:sz w:val="24"/>
                <w:szCs w:val="24"/>
              </w:rPr>
              <w:t>.</w:t>
            </w:r>
            <w:r w:rsidRPr="00550342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DB7255" w:rsidRPr="00550342" w:rsidTr="007A645A">
        <w:tc>
          <w:tcPr>
            <w:tcW w:w="3192" w:type="dxa"/>
            <w:vAlign w:val="bottom"/>
          </w:tcPr>
          <w:p w:rsidR="00DB7255" w:rsidRPr="00550342" w:rsidRDefault="00DB7255" w:rsidP="007A645A">
            <w:pPr>
              <w:jc w:val="center"/>
              <w:rPr>
                <w:sz w:val="24"/>
                <w:szCs w:val="24"/>
              </w:rPr>
            </w:pPr>
            <w:r w:rsidRPr="00550342"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bottom"/>
          </w:tcPr>
          <w:p w:rsidR="00DB7255" w:rsidRPr="00550342" w:rsidRDefault="00DB7255" w:rsidP="007A645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50342">
              <w:rPr>
                <w:sz w:val="24"/>
                <w:szCs w:val="24"/>
              </w:rPr>
              <w:t>$53,</w:t>
            </w:r>
            <w:r w:rsidR="00550342" w:rsidRPr="00550342">
              <w:rPr>
                <w:sz w:val="24"/>
                <w:szCs w:val="24"/>
              </w:rPr>
              <w:t>5</w:t>
            </w:r>
            <w:r w:rsidRPr="00550342">
              <w:rPr>
                <w:sz w:val="24"/>
                <w:szCs w:val="24"/>
              </w:rPr>
              <w:t>00.</w:t>
            </w:r>
            <w:r w:rsidRPr="0055034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34" w:type="dxa"/>
            <w:vAlign w:val="bottom"/>
          </w:tcPr>
          <w:p w:rsidR="00DB7255" w:rsidRPr="00550342" w:rsidRDefault="00DB7255" w:rsidP="007A645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50342">
              <w:rPr>
                <w:sz w:val="24"/>
                <w:szCs w:val="24"/>
              </w:rPr>
              <w:t>$8</w:t>
            </w:r>
            <w:r w:rsidR="00550342" w:rsidRPr="00550342">
              <w:rPr>
                <w:sz w:val="24"/>
                <w:szCs w:val="24"/>
              </w:rPr>
              <w:t>5</w:t>
            </w:r>
            <w:r w:rsidRPr="00550342">
              <w:rPr>
                <w:sz w:val="24"/>
                <w:szCs w:val="24"/>
              </w:rPr>
              <w:t>,</w:t>
            </w:r>
            <w:r w:rsidR="00550342" w:rsidRPr="00550342">
              <w:rPr>
                <w:sz w:val="24"/>
                <w:szCs w:val="24"/>
              </w:rPr>
              <w:t>6</w:t>
            </w:r>
            <w:r w:rsidRPr="00550342">
              <w:rPr>
                <w:sz w:val="24"/>
                <w:szCs w:val="24"/>
              </w:rPr>
              <w:t>00.</w:t>
            </w:r>
            <w:r w:rsidRPr="00550342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DB7255" w:rsidRPr="00550342" w:rsidRDefault="00DB7255" w:rsidP="00DB7255">
      <w:pPr>
        <w:rPr>
          <w:sz w:val="24"/>
          <w:szCs w:val="24"/>
        </w:rPr>
      </w:pPr>
    </w:p>
    <w:p w:rsidR="00855286" w:rsidRPr="00550342" w:rsidRDefault="00855286" w:rsidP="00DB7255">
      <w:pPr>
        <w:rPr>
          <w:b/>
          <w:smallCaps/>
          <w:sz w:val="24"/>
          <w:szCs w:val="24"/>
        </w:rPr>
      </w:pPr>
      <w:r w:rsidRPr="00550342">
        <w:rPr>
          <w:b/>
          <w:smallCaps/>
          <w:sz w:val="24"/>
          <w:szCs w:val="24"/>
        </w:rPr>
        <w:t>Selection Process</w:t>
      </w:r>
    </w:p>
    <w:p w:rsidR="00DB7255" w:rsidRPr="00550342" w:rsidRDefault="00DB7255" w:rsidP="00DB7255">
      <w:pPr>
        <w:rPr>
          <w:sz w:val="24"/>
          <w:szCs w:val="24"/>
        </w:rPr>
      </w:pPr>
      <w:r w:rsidRPr="00550342">
        <w:rPr>
          <w:sz w:val="24"/>
          <w:szCs w:val="24"/>
        </w:rPr>
        <w:t>This process is different from the traditional Inclusionary Zoning lottery and is discussed in detail in the Alternative Selection Procedure</w:t>
      </w:r>
      <w:r w:rsidR="00E50875" w:rsidRPr="00550342">
        <w:rPr>
          <w:sz w:val="24"/>
          <w:szCs w:val="24"/>
        </w:rPr>
        <w:t xml:space="preserve">. </w:t>
      </w:r>
      <w:r w:rsidRPr="00550342">
        <w:rPr>
          <w:sz w:val="24"/>
          <w:szCs w:val="24"/>
        </w:rPr>
        <w:t xml:space="preserve">Below are some </w:t>
      </w:r>
      <w:r w:rsidR="003C7A8C" w:rsidRPr="00550342">
        <w:rPr>
          <w:sz w:val="24"/>
          <w:szCs w:val="24"/>
        </w:rPr>
        <w:t>important</w:t>
      </w:r>
      <w:r w:rsidRPr="00550342">
        <w:rPr>
          <w:sz w:val="24"/>
          <w:szCs w:val="24"/>
        </w:rPr>
        <w:t xml:space="preserve"> details:</w:t>
      </w:r>
    </w:p>
    <w:p w:rsidR="00E50875" w:rsidRPr="00550342" w:rsidRDefault="00E50875" w:rsidP="00DB7255">
      <w:pPr>
        <w:rPr>
          <w:sz w:val="24"/>
          <w:szCs w:val="24"/>
          <w:u w:val="single"/>
        </w:rPr>
      </w:pPr>
      <w:r w:rsidRPr="00550342">
        <w:rPr>
          <w:sz w:val="24"/>
          <w:szCs w:val="24"/>
          <w:u w:val="single"/>
        </w:rPr>
        <w:t>OPEN HOUSE(s)</w:t>
      </w:r>
    </w:p>
    <w:p w:rsidR="00DB7255" w:rsidRPr="00550342" w:rsidRDefault="00DB7255" w:rsidP="00DB7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342">
        <w:rPr>
          <w:sz w:val="24"/>
          <w:szCs w:val="24"/>
        </w:rPr>
        <w:t xml:space="preserve">There will be two open houses for the units on </w:t>
      </w:r>
      <w:r w:rsidR="00C33CBD" w:rsidRPr="00550342">
        <w:rPr>
          <w:b/>
          <w:sz w:val="24"/>
          <w:szCs w:val="24"/>
        </w:rPr>
        <w:t>Saturday,</w:t>
      </w:r>
      <w:r w:rsidR="00C33CBD" w:rsidRPr="00550342">
        <w:rPr>
          <w:sz w:val="24"/>
          <w:szCs w:val="24"/>
        </w:rPr>
        <w:t xml:space="preserve"> </w:t>
      </w:r>
      <w:r w:rsidRPr="00550342">
        <w:rPr>
          <w:b/>
          <w:sz w:val="24"/>
          <w:szCs w:val="24"/>
        </w:rPr>
        <w:t xml:space="preserve">September 13, 2014 and </w:t>
      </w:r>
      <w:r w:rsidR="00C33CBD" w:rsidRPr="00550342">
        <w:rPr>
          <w:b/>
          <w:sz w:val="24"/>
          <w:szCs w:val="24"/>
        </w:rPr>
        <w:br/>
        <w:t xml:space="preserve">Saturday, </w:t>
      </w:r>
      <w:r w:rsidRPr="00550342">
        <w:rPr>
          <w:b/>
          <w:sz w:val="24"/>
          <w:szCs w:val="24"/>
        </w:rPr>
        <w:t>September 27, 2014</w:t>
      </w:r>
      <w:r w:rsidR="003C7A8C" w:rsidRPr="00550342">
        <w:rPr>
          <w:sz w:val="24"/>
          <w:szCs w:val="24"/>
        </w:rPr>
        <w:t>, both</w:t>
      </w:r>
      <w:r w:rsidRPr="00550342">
        <w:rPr>
          <w:sz w:val="24"/>
          <w:szCs w:val="24"/>
        </w:rPr>
        <w:t xml:space="preserve"> from 12 pm to 4 pm. Please take the opportunity to view the units to determine if you are interested in them.</w:t>
      </w:r>
    </w:p>
    <w:p w:rsidR="00E50875" w:rsidRPr="00550342" w:rsidRDefault="00E50875" w:rsidP="00E50875">
      <w:pPr>
        <w:rPr>
          <w:sz w:val="24"/>
          <w:szCs w:val="24"/>
          <w:u w:val="single"/>
        </w:rPr>
      </w:pPr>
      <w:r w:rsidRPr="00550342">
        <w:rPr>
          <w:sz w:val="24"/>
          <w:szCs w:val="24"/>
          <w:u w:val="single"/>
        </w:rPr>
        <w:lastRenderedPageBreak/>
        <w:t>HOUSING LOCATOR LISTINGS</w:t>
      </w:r>
    </w:p>
    <w:p w:rsidR="00DB7255" w:rsidRPr="00550342" w:rsidRDefault="00DB7255" w:rsidP="00E508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342">
        <w:rPr>
          <w:sz w:val="24"/>
          <w:szCs w:val="24"/>
        </w:rPr>
        <w:t xml:space="preserve">To see listings of the units on the Housing Locator </w:t>
      </w:r>
      <w:hyperlink r:id="rId6" w:history="1">
        <w:r w:rsidR="00B25AFA" w:rsidRPr="00550342">
          <w:rPr>
            <w:rStyle w:val="Hyperlink"/>
            <w:sz w:val="24"/>
            <w:szCs w:val="24"/>
          </w:rPr>
          <w:t>here</w:t>
        </w:r>
      </w:hyperlink>
      <w:r w:rsidR="00B25AFA" w:rsidRPr="00550342">
        <w:rPr>
          <w:color w:val="FF0000"/>
          <w:sz w:val="24"/>
          <w:szCs w:val="24"/>
        </w:rPr>
        <w:t xml:space="preserve"> </w:t>
      </w:r>
      <w:r w:rsidR="00B25AFA" w:rsidRPr="00550342">
        <w:rPr>
          <w:sz w:val="24"/>
          <w:szCs w:val="24"/>
        </w:rPr>
        <w:t xml:space="preserve">for C-02 and </w:t>
      </w:r>
      <w:hyperlink r:id="rId7" w:history="1">
        <w:r w:rsidR="00B25AFA" w:rsidRPr="00550342">
          <w:rPr>
            <w:rStyle w:val="Hyperlink"/>
            <w:sz w:val="24"/>
            <w:szCs w:val="24"/>
          </w:rPr>
          <w:t>here</w:t>
        </w:r>
      </w:hyperlink>
      <w:r w:rsidR="00B25AFA" w:rsidRPr="00550342">
        <w:rPr>
          <w:color w:val="FF0000"/>
          <w:sz w:val="24"/>
          <w:szCs w:val="24"/>
        </w:rPr>
        <w:t xml:space="preserve"> </w:t>
      </w:r>
      <w:r w:rsidR="00B25AFA" w:rsidRPr="00550342">
        <w:rPr>
          <w:sz w:val="24"/>
          <w:szCs w:val="24"/>
        </w:rPr>
        <w:t>for 202</w:t>
      </w:r>
      <w:r w:rsidRPr="00550342">
        <w:rPr>
          <w:sz w:val="24"/>
          <w:szCs w:val="24"/>
        </w:rPr>
        <w:t>.</w:t>
      </w:r>
    </w:p>
    <w:p w:rsidR="00E50875" w:rsidRPr="00550342" w:rsidRDefault="00E50875" w:rsidP="00E50875">
      <w:pPr>
        <w:rPr>
          <w:sz w:val="24"/>
          <w:szCs w:val="24"/>
          <w:u w:val="single"/>
        </w:rPr>
      </w:pPr>
      <w:r w:rsidRPr="00550342">
        <w:rPr>
          <w:sz w:val="24"/>
          <w:szCs w:val="24"/>
          <w:u w:val="single"/>
        </w:rPr>
        <w:t>PRE-APPROVAL LETTER</w:t>
      </w:r>
    </w:p>
    <w:p w:rsidR="00DB7255" w:rsidRPr="00550342" w:rsidRDefault="00F85E04" w:rsidP="00DB72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0342">
        <w:rPr>
          <w:b/>
          <w:sz w:val="24"/>
          <w:szCs w:val="24"/>
        </w:rPr>
        <w:t>A pre-approval</w:t>
      </w:r>
      <w:r w:rsidR="00DB7255" w:rsidRPr="00550342">
        <w:rPr>
          <w:b/>
          <w:sz w:val="24"/>
          <w:szCs w:val="24"/>
        </w:rPr>
        <w:t xml:space="preserve"> letter from a lender to participate in this process. </w:t>
      </w:r>
      <w:r w:rsidR="003C7A8C" w:rsidRPr="00550342">
        <w:rPr>
          <w:b/>
          <w:sz w:val="24"/>
          <w:szCs w:val="24"/>
        </w:rPr>
        <w:t xml:space="preserve"> Please note that this differs from the typical Inclusionary Zoning requirement of having a pre-certification letter and requires a more thorough review of household credit worthiness by a lender.</w:t>
      </w:r>
    </w:p>
    <w:p w:rsidR="00E50875" w:rsidRPr="00550342" w:rsidRDefault="00E50875" w:rsidP="00E50875">
      <w:pPr>
        <w:rPr>
          <w:sz w:val="24"/>
          <w:szCs w:val="24"/>
          <w:u w:val="single"/>
        </w:rPr>
      </w:pPr>
      <w:r w:rsidRPr="00550342">
        <w:rPr>
          <w:sz w:val="24"/>
          <w:szCs w:val="24"/>
          <w:u w:val="single"/>
        </w:rPr>
        <w:t>REGISTRATION</w:t>
      </w:r>
    </w:p>
    <w:p w:rsidR="00DB7255" w:rsidRPr="00550342" w:rsidRDefault="00F85E04" w:rsidP="00DB7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342">
        <w:rPr>
          <w:b/>
          <w:sz w:val="24"/>
          <w:szCs w:val="24"/>
        </w:rPr>
        <w:t>Registration is required</w:t>
      </w:r>
      <w:r w:rsidR="00DB7255" w:rsidRPr="00550342">
        <w:rPr>
          <w:b/>
          <w:sz w:val="24"/>
          <w:szCs w:val="24"/>
        </w:rPr>
        <w:t xml:space="preserve"> to participate</w:t>
      </w:r>
      <w:r w:rsidR="00E50875" w:rsidRPr="00550342">
        <w:rPr>
          <w:b/>
          <w:sz w:val="24"/>
          <w:szCs w:val="24"/>
        </w:rPr>
        <w:t xml:space="preserve"> in this Alternative Selection</w:t>
      </w:r>
      <w:r w:rsidR="00DB7255" w:rsidRPr="00550342">
        <w:rPr>
          <w:sz w:val="24"/>
          <w:szCs w:val="24"/>
        </w:rPr>
        <w:t xml:space="preserve">. Please click </w:t>
      </w:r>
      <w:hyperlink r:id="rId8" w:history="1">
        <w:r w:rsidRPr="00550342">
          <w:rPr>
            <w:rStyle w:val="Hyperlink"/>
            <w:sz w:val="24"/>
            <w:szCs w:val="24"/>
          </w:rPr>
          <w:t>here</w:t>
        </w:r>
      </w:hyperlink>
      <w:r w:rsidRPr="00550342">
        <w:rPr>
          <w:sz w:val="24"/>
          <w:szCs w:val="24"/>
        </w:rPr>
        <w:t xml:space="preserve"> </w:t>
      </w:r>
      <w:r w:rsidR="00DB7255" w:rsidRPr="00550342">
        <w:rPr>
          <w:sz w:val="24"/>
          <w:szCs w:val="24"/>
        </w:rPr>
        <w:t xml:space="preserve">to register. </w:t>
      </w:r>
      <w:r w:rsidR="00DB7255" w:rsidRPr="00550342">
        <w:rPr>
          <w:b/>
          <w:sz w:val="24"/>
          <w:szCs w:val="24"/>
        </w:rPr>
        <w:t>All previous lottery registrations are not valid for this Alternative Selection Process</w:t>
      </w:r>
      <w:r w:rsidR="00DB7255" w:rsidRPr="00550342">
        <w:rPr>
          <w:sz w:val="24"/>
          <w:szCs w:val="24"/>
        </w:rPr>
        <w:t xml:space="preserve">. Once registration is submitted DHCD will notify </w:t>
      </w:r>
      <w:r w:rsidRPr="00550342">
        <w:rPr>
          <w:sz w:val="24"/>
          <w:szCs w:val="24"/>
        </w:rPr>
        <w:t xml:space="preserve">applicants </w:t>
      </w:r>
      <w:r w:rsidR="00DB7255" w:rsidRPr="00550342">
        <w:rPr>
          <w:sz w:val="24"/>
          <w:szCs w:val="24"/>
        </w:rPr>
        <w:t xml:space="preserve">if </w:t>
      </w:r>
      <w:r w:rsidRPr="00550342">
        <w:rPr>
          <w:sz w:val="24"/>
          <w:szCs w:val="24"/>
        </w:rPr>
        <w:t xml:space="preserve">they </w:t>
      </w:r>
      <w:r w:rsidR="00DB7255" w:rsidRPr="00550342">
        <w:rPr>
          <w:sz w:val="24"/>
          <w:szCs w:val="24"/>
        </w:rPr>
        <w:t xml:space="preserve">are eligible to continue in this process. </w:t>
      </w:r>
    </w:p>
    <w:p w:rsidR="00E50875" w:rsidRPr="00550342" w:rsidRDefault="00E50875" w:rsidP="00E50875">
      <w:pPr>
        <w:ind w:left="360"/>
        <w:rPr>
          <w:sz w:val="24"/>
          <w:szCs w:val="24"/>
          <w:u w:val="single"/>
        </w:rPr>
      </w:pPr>
      <w:r w:rsidRPr="00550342">
        <w:rPr>
          <w:sz w:val="24"/>
          <w:szCs w:val="24"/>
          <w:u w:val="single"/>
        </w:rPr>
        <w:t xml:space="preserve">IZ ORIENTATION &amp; HOUSING COUNSELING CERTIFICATION </w:t>
      </w:r>
    </w:p>
    <w:p w:rsidR="00DB7255" w:rsidRPr="00550342" w:rsidRDefault="00DB7255" w:rsidP="00DB7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342">
        <w:rPr>
          <w:sz w:val="24"/>
          <w:szCs w:val="24"/>
        </w:rPr>
        <w:t xml:space="preserve">You </w:t>
      </w:r>
      <w:r w:rsidR="003C7A8C" w:rsidRPr="00550342">
        <w:rPr>
          <w:sz w:val="24"/>
          <w:szCs w:val="24"/>
        </w:rPr>
        <w:t>must</w:t>
      </w:r>
      <w:r w:rsidRPr="00550342">
        <w:rPr>
          <w:sz w:val="24"/>
          <w:szCs w:val="24"/>
        </w:rPr>
        <w:t xml:space="preserve"> attend Inclusionary Zoning (IZ) Orientation training and housing counseling. If you have not done so contact one of the Certifying Entities (CE) below. You </w:t>
      </w:r>
      <w:r w:rsidR="003C7A8C" w:rsidRPr="00550342">
        <w:rPr>
          <w:sz w:val="24"/>
          <w:szCs w:val="24"/>
        </w:rPr>
        <w:t>must also</w:t>
      </w:r>
      <w:r w:rsidRPr="00550342">
        <w:rPr>
          <w:sz w:val="24"/>
          <w:szCs w:val="24"/>
        </w:rPr>
        <w:t xml:space="preserve"> submit to the CE your pre-approval letter and documentation regarding your household size and income eligibility. Please contact one of the Certifying Entities listed below:</w:t>
      </w:r>
    </w:p>
    <w:p w:rsidR="00DB7255" w:rsidRPr="00550342" w:rsidRDefault="00DB7255" w:rsidP="00DB72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50342">
        <w:rPr>
          <w:sz w:val="24"/>
          <w:szCs w:val="24"/>
        </w:rPr>
        <w:t>Housing Counseling Services- 2410 17th St NW #100, Washington, DC 20009 (202) 667-7006</w:t>
      </w:r>
    </w:p>
    <w:p w:rsidR="00DB7255" w:rsidRPr="00550342" w:rsidRDefault="00DB7255" w:rsidP="00DB72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50342">
        <w:rPr>
          <w:sz w:val="24"/>
          <w:szCs w:val="24"/>
        </w:rPr>
        <w:t xml:space="preserve">Marshall Heights Community Development Organization- 3939 </w:t>
      </w:r>
      <w:proofErr w:type="spellStart"/>
      <w:r w:rsidRPr="00550342">
        <w:rPr>
          <w:sz w:val="24"/>
          <w:szCs w:val="24"/>
        </w:rPr>
        <w:t>Benning</w:t>
      </w:r>
      <w:proofErr w:type="spellEnd"/>
      <w:r w:rsidRPr="00550342">
        <w:rPr>
          <w:sz w:val="24"/>
          <w:szCs w:val="24"/>
        </w:rPr>
        <w:t xml:space="preserve"> Rd NE, Washington, DC 20019-(202) 396-1200</w:t>
      </w:r>
    </w:p>
    <w:p w:rsidR="00E50875" w:rsidRPr="00550342" w:rsidRDefault="00E50875" w:rsidP="00E50875">
      <w:pPr>
        <w:rPr>
          <w:sz w:val="24"/>
          <w:szCs w:val="24"/>
          <w:u w:val="single"/>
        </w:rPr>
      </w:pPr>
      <w:r w:rsidRPr="00550342">
        <w:rPr>
          <w:sz w:val="24"/>
          <w:szCs w:val="24"/>
          <w:u w:val="single"/>
        </w:rPr>
        <w:t>REQUIRED DOCUMENTS</w:t>
      </w:r>
    </w:p>
    <w:p w:rsidR="00DB7255" w:rsidRPr="00550342" w:rsidRDefault="00DB7255" w:rsidP="00E508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342">
        <w:rPr>
          <w:sz w:val="24"/>
          <w:szCs w:val="24"/>
        </w:rPr>
        <w:t>Once you are determined eligible you must submit all of the following documents to DHCD which the CE will provide to you (via email or mail):</w:t>
      </w:r>
    </w:p>
    <w:p w:rsidR="00DB7255" w:rsidRPr="00550342" w:rsidRDefault="00DB7255" w:rsidP="00DB725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50342">
        <w:rPr>
          <w:rFonts w:eastAsia="Times New Roman" w:cs="Times New Roman"/>
          <w:sz w:val="24"/>
          <w:szCs w:val="24"/>
        </w:rPr>
        <w:t xml:space="preserve">A Certification of Income, Affordability and Housing Size obtained from a Certifying Entity; </w:t>
      </w:r>
    </w:p>
    <w:p w:rsidR="00DB7255" w:rsidRPr="00550342" w:rsidRDefault="00DB7255" w:rsidP="00DB725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50342">
        <w:rPr>
          <w:rFonts w:eastAsia="Times New Roman" w:cs="Times New Roman"/>
          <w:sz w:val="24"/>
          <w:szCs w:val="24"/>
        </w:rPr>
        <w:t>A housing counseling certificate of completion; and</w:t>
      </w:r>
    </w:p>
    <w:p w:rsidR="00E50875" w:rsidRPr="00550342" w:rsidRDefault="00DB7255" w:rsidP="00E5087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50342">
        <w:rPr>
          <w:rFonts w:eastAsia="Times New Roman" w:cs="Times New Roman"/>
          <w:sz w:val="24"/>
          <w:szCs w:val="24"/>
        </w:rPr>
        <w:t>An active pre-approval letter from lender(s) indicating the household’s creditworthiness and ability to afford the purchase price.</w:t>
      </w:r>
    </w:p>
    <w:p w:rsidR="00E50875" w:rsidRPr="00550342" w:rsidRDefault="00E50875" w:rsidP="00E508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50342">
        <w:rPr>
          <w:rFonts w:eastAsia="Times New Roman" w:cs="Times New Roman"/>
          <w:sz w:val="24"/>
          <w:szCs w:val="24"/>
        </w:rPr>
        <w:t xml:space="preserve">Email the documents to </w:t>
      </w:r>
      <w:hyperlink r:id="rId9" w:history="1">
        <w:r w:rsidRPr="00550342">
          <w:rPr>
            <w:rStyle w:val="Hyperlink"/>
            <w:rFonts w:eastAsia="Times New Roman" w:cs="Times New Roman"/>
            <w:sz w:val="24"/>
            <w:szCs w:val="24"/>
          </w:rPr>
          <w:t>2910.georgiaavenue@dc.gov</w:t>
        </w:r>
      </w:hyperlink>
      <w:r w:rsidRPr="00550342">
        <w:rPr>
          <w:rFonts w:eastAsia="Times New Roman" w:cs="Times New Roman"/>
          <w:sz w:val="24"/>
          <w:szCs w:val="24"/>
        </w:rPr>
        <w:t xml:space="preserve">; </w:t>
      </w:r>
    </w:p>
    <w:p w:rsidR="00E50875" w:rsidRPr="00550342" w:rsidRDefault="00E50875" w:rsidP="00E508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50342">
        <w:rPr>
          <w:rFonts w:eastAsia="Times New Roman" w:cs="Times New Roman"/>
          <w:sz w:val="24"/>
          <w:szCs w:val="24"/>
        </w:rPr>
        <w:t xml:space="preserve">Mail the documents to the attention of Lesley Edmond-2910 Georgia Avenue Registration at: 1800 Martin Luther King Jr. Avenue SE, Second Floor, </w:t>
      </w:r>
      <w:proofErr w:type="gramStart"/>
      <w:r w:rsidRPr="00550342">
        <w:rPr>
          <w:rFonts w:eastAsia="Times New Roman" w:cs="Times New Roman"/>
          <w:sz w:val="24"/>
          <w:szCs w:val="24"/>
        </w:rPr>
        <w:t>Washington</w:t>
      </w:r>
      <w:proofErr w:type="gramEnd"/>
      <w:r w:rsidRPr="00550342">
        <w:rPr>
          <w:rFonts w:eastAsia="Times New Roman" w:cs="Times New Roman"/>
          <w:sz w:val="24"/>
          <w:szCs w:val="24"/>
        </w:rPr>
        <w:t xml:space="preserve"> D.C. 20020. </w:t>
      </w:r>
    </w:p>
    <w:p w:rsidR="00DB7255" w:rsidRPr="00550342" w:rsidRDefault="00DB7255" w:rsidP="00DB72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50342">
        <w:rPr>
          <w:rFonts w:eastAsia="Times New Roman" w:cs="Times New Roman"/>
          <w:sz w:val="24"/>
          <w:szCs w:val="24"/>
        </w:rPr>
        <w:lastRenderedPageBreak/>
        <w:t xml:space="preserve">Once DHCD has determined </w:t>
      </w:r>
      <w:r w:rsidR="003C7A8C" w:rsidRPr="00550342">
        <w:rPr>
          <w:rFonts w:eastAsia="Times New Roman" w:cs="Times New Roman"/>
          <w:sz w:val="24"/>
          <w:szCs w:val="24"/>
        </w:rPr>
        <w:t>eligibility,</w:t>
      </w:r>
      <w:r w:rsidRPr="00550342">
        <w:rPr>
          <w:rFonts w:eastAsia="Times New Roman" w:cs="Times New Roman"/>
          <w:sz w:val="24"/>
          <w:szCs w:val="24"/>
        </w:rPr>
        <w:t xml:space="preserve"> DHCD will notify </w:t>
      </w:r>
      <w:r w:rsidR="00F85E04" w:rsidRPr="00550342">
        <w:rPr>
          <w:rFonts w:eastAsia="Times New Roman" w:cs="Times New Roman"/>
          <w:sz w:val="24"/>
          <w:szCs w:val="24"/>
        </w:rPr>
        <w:t xml:space="preserve">applicants </w:t>
      </w:r>
      <w:r w:rsidRPr="00550342">
        <w:rPr>
          <w:rFonts w:eastAsia="Times New Roman" w:cs="Times New Roman"/>
          <w:sz w:val="24"/>
          <w:szCs w:val="24"/>
        </w:rPr>
        <w:t xml:space="preserve">and the IZ Development Owner of </w:t>
      </w:r>
      <w:r w:rsidR="00F85E04" w:rsidRPr="00550342">
        <w:rPr>
          <w:rFonts w:eastAsia="Times New Roman" w:cs="Times New Roman"/>
          <w:sz w:val="24"/>
          <w:szCs w:val="24"/>
        </w:rPr>
        <w:t xml:space="preserve">the applicant’s </w:t>
      </w:r>
      <w:r w:rsidRPr="00550342">
        <w:rPr>
          <w:rFonts w:eastAsia="Times New Roman" w:cs="Times New Roman"/>
          <w:sz w:val="24"/>
          <w:szCs w:val="24"/>
        </w:rPr>
        <w:t>eligibility to proceed</w:t>
      </w:r>
      <w:r w:rsidR="00E50875" w:rsidRPr="00550342">
        <w:rPr>
          <w:rFonts w:eastAsia="Times New Roman" w:cs="Times New Roman"/>
          <w:sz w:val="24"/>
          <w:szCs w:val="24"/>
        </w:rPr>
        <w:t xml:space="preserve"> via email</w:t>
      </w:r>
      <w:r w:rsidR="00F85E04" w:rsidRPr="00550342">
        <w:rPr>
          <w:rFonts w:eastAsia="Times New Roman" w:cs="Times New Roman"/>
          <w:sz w:val="24"/>
          <w:szCs w:val="24"/>
        </w:rPr>
        <w:t xml:space="preserve"> </w:t>
      </w:r>
      <w:r w:rsidR="00F85E04" w:rsidRPr="00550342">
        <w:rPr>
          <w:rFonts w:eastAsia="Times New Roman" w:cs="Times New Roman"/>
          <w:b/>
          <w:sz w:val="24"/>
          <w:szCs w:val="24"/>
        </w:rPr>
        <w:t>only</w:t>
      </w:r>
      <w:r w:rsidRPr="00550342">
        <w:rPr>
          <w:rFonts w:eastAsia="Times New Roman" w:cs="Times New Roman"/>
          <w:sz w:val="24"/>
          <w:szCs w:val="24"/>
        </w:rPr>
        <w:t xml:space="preserve">. The IZ Development Owner will then work with the first ready and able buyers for the sale of the units. </w:t>
      </w:r>
    </w:p>
    <w:p w:rsidR="00E50875" w:rsidRPr="00550342" w:rsidRDefault="00E50875" w:rsidP="00E5087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50875" w:rsidRPr="00550342" w:rsidRDefault="00E50875" w:rsidP="00E50875">
      <w:pPr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  <w:r w:rsidRPr="00550342">
        <w:rPr>
          <w:rFonts w:eastAsia="Times New Roman" w:cs="Times New Roman"/>
          <w:sz w:val="24"/>
          <w:szCs w:val="24"/>
          <w:u w:val="single"/>
        </w:rPr>
        <w:t>OPEN and CLOSING of ALTERNATIVE SELECTION PROCEDURE</w:t>
      </w:r>
    </w:p>
    <w:p w:rsidR="00DB7255" w:rsidRPr="00550342" w:rsidRDefault="00DB7255" w:rsidP="0055034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50342">
        <w:rPr>
          <w:rFonts w:eastAsia="Times New Roman" w:cs="Times New Roman"/>
          <w:sz w:val="24"/>
          <w:szCs w:val="24"/>
        </w:rPr>
        <w:t xml:space="preserve">This process will remain open until the units are sold or until </w:t>
      </w:r>
      <w:r w:rsidR="00550342" w:rsidRPr="00550342">
        <w:rPr>
          <w:rFonts w:eastAsia="Times New Roman" w:cs="Times New Roman"/>
          <w:sz w:val="24"/>
          <w:szCs w:val="24"/>
        </w:rPr>
        <w:t>February 27, 2015</w:t>
      </w:r>
      <w:r w:rsidRPr="00550342">
        <w:rPr>
          <w:rFonts w:eastAsia="Times New Roman" w:cs="Times New Roman"/>
          <w:sz w:val="24"/>
          <w:szCs w:val="24"/>
        </w:rPr>
        <w:t>, 5 PM</w:t>
      </w:r>
      <w:r w:rsidR="003C7A8C" w:rsidRPr="00550342">
        <w:rPr>
          <w:rFonts w:eastAsia="Times New Roman" w:cs="Times New Roman"/>
          <w:sz w:val="24"/>
          <w:szCs w:val="24"/>
        </w:rPr>
        <w:t>, whichever is first</w:t>
      </w:r>
      <w:r w:rsidRPr="00550342">
        <w:rPr>
          <w:rFonts w:eastAsia="Times New Roman" w:cs="Times New Roman"/>
          <w:sz w:val="24"/>
          <w:szCs w:val="24"/>
        </w:rPr>
        <w:t xml:space="preserve">.  </w:t>
      </w:r>
    </w:p>
    <w:p w:rsidR="00E50875" w:rsidRPr="00550342" w:rsidRDefault="00E50875" w:rsidP="00DB72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50342">
        <w:rPr>
          <w:rFonts w:eastAsia="Times New Roman" w:cs="Times New Roman"/>
          <w:sz w:val="24"/>
          <w:szCs w:val="24"/>
        </w:rPr>
        <w:t xml:space="preserve">DHCD may reopen this process at its discretion. </w:t>
      </w:r>
    </w:p>
    <w:p w:rsidR="00DB7255" w:rsidRPr="00550342" w:rsidRDefault="00DB7255" w:rsidP="00DB7255">
      <w:pPr>
        <w:rPr>
          <w:sz w:val="24"/>
          <w:szCs w:val="24"/>
        </w:rPr>
      </w:pPr>
    </w:p>
    <w:p w:rsidR="00DB7255" w:rsidRPr="00550342" w:rsidRDefault="00E50875" w:rsidP="00DB7255">
      <w:pPr>
        <w:rPr>
          <w:sz w:val="24"/>
          <w:szCs w:val="24"/>
        </w:rPr>
      </w:pPr>
      <w:r w:rsidRPr="00550342">
        <w:rPr>
          <w:sz w:val="24"/>
          <w:szCs w:val="24"/>
        </w:rPr>
        <w:t>For questions contact the Inclusionary Zoning Program at 202-442-7221</w:t>
      </w:r>
      <w:r w:rsidR="002C0D0D" w:rsidRPr="00550342">
        <w:rPr>
          <w:sz w:val="24"/>
          <w:szCs w:val="24"/>
        </w:rPr>
        <w:t>.</w:t>
      </w:r>
    </w:p>
    <w:p w:rsidR="00DB7255" w:rsidRPr="00550342" w:rsidRDefault="00DB7255" w:rsidP="00DB7255">
      <w:pPr>
        <w:rPr>
          <w:sz w:val="24"/>
          <w:szCs w:val="24"/>
        </w:rPr>
      </w:pPr>
    </w:p>
    <w:p w:rsidR="00DB7255" w:rsidRPr="00550342" w:rsidRDefault="00DB7255" w:rsidP="00DB7255">
      <w:pPr>
        <w:rPr>
          <w:sz w:val="24"/>
          <w:szCs w:val="24"/>
        </w:rPr>
      </w:pPr>
    </w:p>
    <w:p w:rsidR="00DB7255" w:rsidRPr="00550342" w:rsidRDefault="00DB7255">
      <w:pPr>
        <w:rPr>
          <w:sz w:val="24"/>
          <w:szCs w:val="24"/>
        </w:rPr>
      </w:pPr>
    </w:p>
    <w:sectPr w:rsidR="00DB7255" w:rsidRPr="0055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DE8"/>
    <w:multiLevelType w:val="hybridMultilevel"/>
    <w:tmpl w:val="1F58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83CD5"/>
    <w:multiLevelType w:val="hybridMultilevel"/>
    <w:tmpl w:val="5236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55"/>
    <w:rsid w:val="002B3C86"/>
    <w:rsid w:val="002C0D0D"/>
    <w:rsid w:val="002E711A"/>
    <w:rsid w:val="003C7A8C"/>
    <w:rsid w:val="00550342"/>
    <w:rsid w:val="005E617E"/>
    <w:rsid w:val="00855286"/>
    <w:rsid w:val="008B2A89"/>
    <w:rsid w:val="00A37205"/>
    <w:rsid w:val="00AF1F3A"/>
    <w:rsid w:val="00B25AFA"/>
    <w:rsid w:val="00BF58B4"/>
    <w:rsid w:val="00C33CBD"/>
    <w:rsid w:val="00DB7255"/>
    <w:rsid w:val="00E50875"/>
    <w:rsid w:val="00E85256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8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28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5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8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28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5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QN2bSFzvutZXkmycXSslv0MWuyc7n-ksYfi3UhSIgg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cialserve.com/dbh/ViewUnit/495971?hm=LHbvHY16&amp;impersonated_realtor=322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ialserve.com/dbh/ViewUnit/495966?hm=QiPKbXhR&amp;impersonated_realtor=3222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910.georgiaavenue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2015-01-08T18:43:00Z</dcterms:created>
  <dcterms:modified xsi:type="dcterms:W3CDTF">2015-01-08T18:43:00Z</dcterms:modified>
</cp:coreProperties>
</file>