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01" w:rsidRDefault="00386C01" w:rsidP="00386C01">
      <w:pPr>
        <w:spacing w:after="300" w:line="240" w:lineRule="auto"/>
        <w:textAlignment w:val="baseline"/>
        <w:outlineLvl w:val="2"/>
        <w:rPr>
          <w:rFonts w:ascii="inherit" w:eastAsia="Times New Roman" w:hAnsi="inherit" w:cs="Times New Roman"/>
          <w:color w:val="444444"/>
          <w:sz w:val="21"/>
          <w:szCs w:val="21"/>
        </w:rPr>
      </w:pPr>
    </w:p>
    <w:p w:rsidR="00386C01" w:rsidRDefault="00CD5424" w:rsidP="00CD5424">
      <w:pPr>
        <w:pStyle w:val="Heading1"/>
      </w:pPr>
      <w:r>
        <w:t>Housing Production Trust Fund Reports</w:t>
      </w:r>
    </w:p>
    <w:p w:rsidR="00CD5424" w:rsidRDefault="006552A4" w:rsidP="00CD5424">
      <w:r>
        <w:t>Each year,</w:t>
      </w:r>
      <w:r w:rsidR="00386C01">
        <w:t xml:space="preserve"> on </w:t>
      </w:r>
      <w:r w:rsidR="00CD5424">
        <w:t xml:space="preserve">the Mayor’s </w:t>
      </w:r>
      <w:r w:rsidR="00386C01">
        <w:t xml:space="preserve">behalf, </w:t>
      </w:r>
      <w:r>
        <w:t>DHCD</w:t>
      </w:r>
      <w:r>
        <w:t xml:space="preserve"> </w:t>
      </w:r>
      <w:r w:rsidR="00386C01">
        <w:t>submits a Housing Production Trust Fund (HPTF) Annual Report to the DC Council.</w:t>
      </w:r>
      <w:r w:rsidR="00CD5424">
        <w:t xml:space="preserve"> (D.C. Official Code §42-2803.01; the Housing Production Trust Fund Act of 1988, as amended (D.C. Law 7-202, effective March 16, 1989)</w:t>
      </w:r>
    </w:p>
    <w:p w:rsidR="00386C01" w:rsidRDefault="00386C01" w:rsidP="00386C01">
      <w:r>
        <w:t>The report includes the following information</w:t>
      </w:r>
      <w:r w:rsidR="00CD5424">
        <w:t>,</w:t>
      </w:r>
      <w:r w:rsidR="0020452C">
        <w:t xml:space="preserve"> per fiscal year</w:t>
      </w:r>
      <w:r>
        <w:t>:</w:t>
      </w:r>
    </w:p>
    <w:p w:rsidR="00386C01" w:rsidRDefault="00CD5424" w:rsidP="00CD5424">
      <w:pPr>
        <w:pStyle w:val="ListParagraph"/>
        <w:numPr>
          <w:ilvl w:val="0"/>
          <w:numId w:val="10"/>
        </w:numPr>
      </w:pPr>
      <w:r>
        <w:t>The</w:t>
      </w:r>
      <w:r w:rsidR="00386C01">
        <w:t xml:space="preserve"> amount of money </w:t>
      </w:r>
      <w:r w:rsidR="0020452C">
        <w:t>spent</w:t>
      </w:r>
      <w:r w:rsidR="00386C01">
        <w:t xml:space="preserve"> from the HPTF</w:t>
      </w:r>
      <w:r>
        <w:t>.</w:t>
      </w:r>
    </w:p>
    <w:p w:rsidR="00386C01" w:rsidRDefault="00CD5424" w:rsidP="00CD5424">
      <w:pPr>
        <w:pStyle w:val="ListParagraph"/>
        <w:numPr>
          <w:ilvl w:val="0"/>
          <w:numId w:val="10"/>
        </w:numPr>
      </w:pPr>
      <w:r>
        <w:t>The</w:t>
      </w:r>
      <w:r w:rsidR="00386C01">
        <w:t xml:space="preserve"> number of loans and grants made</w:t>
      </w:r>
      <w:r>
        <w:t>.</w:t>
      </w:r>
    </w:p>
    <w:p w:rsidR="00386C01" w:rsidRDefault="00CD5424" w:rsidP="00CD5424">
      <w:pPr>
        <w:pStyle w:val="ListParagraph"/>
        <w:numPr>
          <w:ilvl w:val="0"/>
          <w:numId w:val="10"/>
        </w:numPr>
      </w:pPr>
      <w:r>
        <w:t>T</w:t>
      </w:r>
      <w:r w:rsidR="00386C01">
        <w:t>he number of low-income, very low-income, and extremely low-income households and individuals assisted through HPTF</w:t>
      </w:r>
      <w:r>
        <w:t xml:space="preserve"> expenditures.</w:t>
      </w:r>
    </w:p>
    <w:p w:rsidR="00386C01" w:rsidRDefault="00CD5424" w:rsidP="00CD5424">
      <w:pPr>
        <w:pStyle w:val="ListParagraph"/>
        <w:numPr>
          <w:ilvl w:val="0"/>
          <w:numId w:val="10"/>
        </w:numPr>
      </w:pPr>
      <w:r>
        <w:t xml:space="preserve">A </w:t>
      </w:r>
      <w:r w:rsidR="00386C01">
        <w:t xml:space="preserve">list of each project on which </w:t>
      </w:r>
      <w:r>
        <w:t xml:space="preserve">HPTF monies </w:t>
      </w:r>
      <w:r w:rsidR="00386C01">
        <w:t xml:space="preserve">were </w:t>
      </w:r>
      <w:r w:rsidR="0020452C">
        <w:t>spent</w:t>
      </w:r>
      <w:r w:rsidR="00386C01">
        <w:t>, including:</w:t>
      </w:r>
    </w:p>
    <w:p w:rsidR="00386C01" w:rsidRDefault="00CD5424" w:rsidP="00CD5424">
      <w:pPr>
        <w:pStyle w:val="ListParagraph"/>
        <w:numPr>
          <w:ilvl w:val="0"/>
          <w:numId w:val="12"/>
        </w:numPr>
      </w:pPr>
      <w:r>
        <w:t>a</w:t>
      </w:r>
      <w:r w:rsidR="00386C01">
        <w:t xml:space="preserve"> brief description of the project, including the name of the project sponsor;</w:t>
      </w:r>
    </w:p>
    <w:p w:rsidR="00386C01" w:rsidRDefault="00CD5424" w:rsidP="00CD5424">
      <w:pPr>
        <w:pStyle w:val="ListParagraph"/>
        <w:numPr>
          <w:ilvl w:val="0"/>
          <w:numId w:val="12"/>
        </w:numPr>
      </w:pPr>
      <w:r>
        <w:t>t</w:t>
      </w:r>
      <w:r w:rsidR="00386C01">
        <w:t xml:space="preserve">he amount of money </w:t>
      </w:r>
      <w:r w:rsidR="0020452C">
        <w:t>spent</w:t>
      </w:r>
      <w:r w:rsidR="00386C01">
        <w:t xml:space="preserve"> on the pro</w:t>
      </w:r>
      <w:bookmarkStart w:id="0" w:name="_GoBack"/>
      <w:bookmarkEnd w:id="0"/>
      <w:r w:rsidR="00386C01">
        <w:t>ject;</w:t>
      </w:r>
    </w:p>
    <w:p w:rsidR="00386C01" w:rsidRDefault="00CD5424" w:rsidP="00CD5424">
      <w:pPr>
        <w:pStyle w:val="ListParagraph"/>
        <w:numPr>
          <w:ilvl w:val="0"/>
          <w:numId w:val="12"/>
        </w:numPr>
      </w:pPr>
      <w:r>
        <w:t>w</w:t>
      </w:r>
      <w:r w:rsidR="00386C01">
        <w:t xml:space="preserve">hether the money </w:t>
      </w:r>
      <w:r w:rsidR="0020452C">
        <w:t>spent was a loan or grant</w:t>
      </w:r>
      <w:r w:rsidR="00386C01">
        <w:t>; and</w:t>
      </w:r>
    </w:p>
    <w:p w:rsidR="00386C01" w:rsidRDefault="00CD5424" w:rsidP="00CD5424">
      <w:pPr>
        <w:pStyle w:val="ListParagraph"/>
        <w:numPr>
          <w:ilvl w:val="0"/>
          <w:numId w:val="12"/>
        </w:numPr>
      </w:pPr>
      <w:proofErr w:type="gramStart"/>
      <w:r>
        <w:t>t</w:t>
      </w:r>
      <w:r w:rsidR="00386C01">
        <w:t>he</w:t>
      </w:r>
      <w:proofErr w:type="gramEnd"/>
      <w:r w:rsidR="00386C01">
        <w:t xml:space="preserve"> </w:t>
      </w:r>
      <w:r>
        <w:t>general loan or grant terms.</w:t>
      </w:r>
    </w:p>
    <w:p w:rsidR="0020452C" w:rsidRDefault="00386C01" w:rsidP="00CD5424">
      <w:pPr>
        <w:pStyle w:val="ListParagraph"/>
        <w:numPr>
          <w:ilvl w:val="0"/>
          <w:numId w:val="10"/>
        </w:numPr>
      </w:pPr>
      <w:r>
        <w:t xml:space="preserve">The amount and percentage of funds </w:t>
      </w:r>
      <w:r w:rsidR="0020452C">
        <w:t>spent</w:t>
      </w:r>
      <w:r>
        <w:t xml:space="preserve"> on homeownership </w:t>
      </w:r>
      <w:r w:rsidR="0020452C">
        <w:t xml:space="preserve">and rental housing </w:t>
      </w:r>
      <w:r>
        <w:t>projects</w:t>
      </w:r>
      <w:r w:rsidR="00CD5424">
        <w:t>, to include: h</w:t>
      </w:r>
      <w:r w:rsidR="0020452C">
        <w:t xml:space="preserve">ow much was spent for </w:t>
      </w:r>
      <w:r>
        <w:t xml:space="preserve">households with incomes at or below </w:t>
      </w:r>
      <w:r w:rsidR="0020452C">
        <w:t xml:space="preserve">(a) </w:t>
      </w:r>
      <w:r>
        <w:t>30</w:t>
      </w:r>
      <w:r w:rsidR="00CD5424">
        <w:t xml:space="preserve"> percent of the area median income (</w:t>
      </w:r>
      <w:r w:rsidR="0020452C">
        <w:t>AMI</w:t>
      </w:r>
      <w:r w:rsidR="00CD5424">
        <w:t>); (</w:t>
      </w:r>
      <w:r w:rsidR="006552A4">
        <w:t>b</w:t>
      </w:r>
      <w:r w:rsidR="00CD5424">
        <w:t>) 50 percent</w:t>
      </w:r>
      <w:r w:rsidR="0020452C">
        <w:t xml:space="preserve"> AMI and </w:t>
      </w:r>
      <w:r w:rsidR="00CD5424">
        <w:t>(</w:t>
      </w:r>
      <w:r w:rsidR="006552A4">
        <w:t>c</w:t>
      </w:r>
      <w:r w:rsidR="00CD5424">
        <w:t>) 80 percent</w:t>
      </w:r>
      <w:r w:rsidR="0020452C">
        <w:t xml:space="preserve"> AMI.</w:t>
      </w:r>
    </w:p>
    <w:p w:rsidR="00386C01" w:rsidRDefault="00CD5424" w:rsidP="00CD5424">
      <w:pPr>
        <w:pStyle w:val="ListParagraph"/>
        <w:numPr>
          <w:ilvl w:val="0"/>
          <w:numId w:val="10"/>
        </w:numPr>
      </w:pPr>
      <w:r>
        <w:t>The</w:t>
      </w:r>
      <w:r w:rsidR="00386C01">
        <w:t xml:space="preserve"> number of rental housing </w:t>
      </w:r>
      <w:r w:rsidR="0020452C">
        <w:t>and</w:t>
      </w:r>
      <w:r w:rsidR="00386C01">
        <w:t xml:space="preserve"> homeownership units assisted</w:t>
      </w:r>
      <w:r>
        <w:t>.</w:t>
      </w:r>
    </w:p>
    <w:p w:rsidR="00386C01" w:rsidRDefault="00386C01" w:rsidP="00CD5424">
      <w:pPr>
        <w:pStyle w:val="ListParagraph"/>
        <w:numPr>
          <w:ilvl w:val="0"/>
          <w:numId w:val="10"/>
        </w:numPr>
      </w:pPr>
      <w:r>
        <w:t xml:space="preserve">The amount </w:t>
      </w:r>
      <w:r w:rsidR="0020452C">
        <w:t>spent</w:t>
      </w:r>
      <w:r>
        <w:t xml:space="preserve"> on administrative costs.</w:t>
      </w:r>
    </w:p>
    <w:p w:rsidR="006552A4" w:rsidRDefault="006552A4" w:rsidP="006552A4">
      <w:r>
        <w:t xml:space="preserve">Quarterly reports </w:t>
      </w:r>
      <w:r w:rsidRPr="006552A4">
        <w:t xml:space="preserve">on HPTF </w:t>
      </w:r>
      <w:r w:rsidRPr="006552A4">
        <w:t>activities and expenditures</w:t>
      </w:r>
      <w:r w:rsidRPr="006552A4">
        <w:t xml:space="preserve"> are to be filed with the </w:t>
      </w:r>
      <w:r>
        <w:t>c</w:t>
      </w:r>
      <w:r w:rsidRPr="006552A4">
        <w:t xml:space="preserve">hairperson of the </w:t>
      </w:r>
      <w:r>
        <w:t xml:space="preserve">DC Council committee with </w:t>
      </w:r>
      <w:r w:rsidRPr="006552A4">
        <w:t>economic development</w:t>
      </w:r>
      <w:r>
        <w:t xml:space="preserve"> oversight.</w:t>
      </w:r>
      <w:r w:rsidRPr="006552A4">
        <w:t xml:space="preserve"> (</w:t>
      </w:r>
      <w:r>
        <w:t>Section 3(d</w:t>
      </w:r>
      <w:proofErr w:type="gramStart"/>
      <w:r>
        <w:t>)(</w:t>
      </w:r>
      <w:proofErr w:type="gramEnd"/>
      <w:r>
        <w:t>2) o</w:t>
      </w:r>
      <w:r>
        <w:t xml:space="preserve">f </w:t>
      </w:r>
      <w:r>
        <w:t>the Housing Pr</w:t>
      </w:r>
      <w:r>
        <w:t>oduction Trust Fund Act of 1988</w:t>
      </w:r>
      <w:r>
        <w:t>)</w:t>
      </w:r>
    </w:p>
    <w:p w:rsidR="00386C01" w:rsidRPr="00CD5424" w:rsidRDefault="00386C01" w:rsidP="00CD5424">
      <w:pPr>
        <w:pStyle w:val="Heading2"/>
        <w:rPr>
          <w:rStyle w:val="Strong"/>
        </w:rPr>
      </w:pPr>
      <w:r w:rsidRPr="00CD5424">
        <w:rPr>
          <w:rStyle w:val="Strong"/>
        </w:rPr>
        <w:t>Annual Reports</w:t>
      </w:r>
    </w:p>
    <w:p w:rsidR="00386C01" w:rsidRPr="00386C01" w:rsidRDefault="00FF3F75" w:rsidP="00386C01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6" w:tooltip="2015 Housing Production Trust Fund and Affordable Housing Annual Report" w:history="1">
        <w:r w:rsidR="00386C01" w:rsidRPr="00386C01">
          <w:rPr>
            <w:rFonts w:ascii="inherit" w:eastAsia="Times New Roman" w:hAnsi="inherit" w:cs="Times New Roman"/>
            <w:color w:val="0038B1"/>
            <w:sz w:val="21"/>
            <w:szCs w:val="21"/>
            <w:bdr w:val="none" w:sz="0" w:space="0" w:color="auto" w:frame="1"/>
          </w:rPr>
          <w:t>2015 Housing Production and Affordable Housing Annual Report</w:t>
        </w:r>
      </w:hyperlink>
    </w:p>
    <w:p w:rsidR="00386C01" w:rsidRPr="00386C01" w:rsidRDefault="00FF3F75" w:rsidP="00386C01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7" w:tooltip="2014 Housing Production and Affordable Housing Annual Report" w:history="1">
        <w:r w:rsidR="00386C01" w:rsidRPr="00386C01">
          <w:rPr>
            <w:rFonts w:ascii="inherit" w:eastAsia="Times New Roman" w:hAnsi="inherit" w:cs="Times New Roman"/>
            <w:color w:val="0038B1"/>
            <w:sz w:val="21"/>
            <w:szCs w:val="21"/>
            <w:bdr w:val="none" w:sz="0" w:space="0" w:color="auto" w:frame="1"/>
          </w:rPr>
          <w:t>2014 Housing Production and Affordable Housing Annual Report</w:t>
        </w:r>
      </w:hyperlink>
    </w:p>
    <w:p w:rsidR="00386C01" w:rsidRDefault="00FF3F75" w:rsidP="00386C01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8" w:history="1">
        <w:r w:rsidR="00386C01" w:rsidRPr="00386C01">
          <w:rPr>
            <w:rFonts w:ascii="inherit" w:eastAsia="Times New Roman" w:hAnsi="inherit" w:cs="Times New Roman"/>
            <w:color w:val="0038B1"/>
            <w:sz w:val="21"/>
            <w:szCs w:val="21"/>
            <w:bdr w:val="none" w:sz="0" w:space="0" w:color="auto" w:frame="1"/>
          </w:rPr>
          <w:t>2013 Housing Production and Affordable Housing Annual Report</w:t>
        </w:r>
      </w:hyperlink>
    </w:p>
    <w:p w:rsidR="00386C01" w:rsidRPr="00386C01" w:rsidRDefault="00FF3F75" w:rsidP="00386C01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9" w:tooltip="2012 Housing Production and Affordable Housing Annual Report" w:history="1">
        <w:r w:rsidR="00386C01" w:rsidRPr="00386C01">
          <w:rPr>
            <w:rFonts w:ascii="inherit" w:eastAsia="Times New Roman" w:hAnsi="inherit" w:cs="Times New Roman"/>
            <w:color w:val="0038B1"/>
            <w:sz w:val="21"/>
            <w:szCs w:val="21"/>
            <w:bdr w:val="none" w:sz="0" w:space="0" w:color="auto" w:frame="1"/>
          </w:rPr>
          <w:t>2012 Housing Production and Affordable Housing Annual Report</w:t>
        </w:r>
      </w:hyperlink>
    </w:p>
    <w:p w:rsidR="00386C01" w:rsidRDefault="00FF3F75" w:rsidP="00386C01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10" w:tooltip="2011 Housing Production Trust Fund and Affordable Housing Annual Report" w:history="1">
        <w:r w:rsidR="00386C01" w:rsidRPr="00386C01">
          <w:rPr>
            <w:rFonts w:ascii="inherit" w:eastAsia="Times New Roman" w:hAnsi="inherit" w:cs="Times New Roman"/>
            <w:color w:val="0038B1"/>
            <w:sz w:val="21"/>
            <w:szCs w:val="21"/>
            <w:bdr w:val="none" w:sz="0" w:space="0" w:color="auto" w:frame="1"/>
          </w:rPr>
          <w:t>2011 Housing Production and Affordable Housing Annual Report</w:t>
        </w:r>
      </w:hyperlink>
    </w:p>
    <w:p w:rsidR="00386C01" w:rsidRPr="00386C01" w:rsidRDefault="00FF3F75" w:rsidP="00386C01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11" w:history="1">
        <w:r w:rsidR="00386C01" w:rsidRPr="00386C01">
          <w:rPr>
            <w:rFonts w:ascii="inherit" w:eastAsia="Times New Roman" w:hAnsi="inherit" w:cs="Times New Roman"/>
            <w:color w:val="0038B1"/>
            <w:sz w:val="21"/>
            <w:szCs w:val="21"/>
            <w:bdr w:val="none" w:sz="0" w:space="0" w:color="auto" w:frame="1"/>
          </w:rPr>
          <w:t>Housing Production Trust Fund FY 2010 Annual Report</w:t>
        </w:r>
      </w:hyperlink>
    </w:p>
    <w:p w:rsidR="00386C01" w:rsidRPr="00CD5424" w:rsidRDefault="00386C01" w:rsidP="00CD5424">
      <w:pPr>
        <w:pStyle w:val="Heading2"/>
        <w:rPr>
          <w:rStyle w:val="Strong"/>
        </w:rPr>
      </w:pPr>
      <w:r w:rsidRPr="00CD5424">
        <w:rPr>
          <w:rStyle w:val="Strong"/>
        </w:rPr>
        <w:t>Quarterly Reports</w:t>
      </w:r>
    </w:p>
    <w:p w:rsidR="00CD5424" w:rsidRDefault="00CD5424" w:rsidP="00386C01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38B1"/>
          <w:sz w:val="21"/>
          <w:szCs w:val="21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38B1"/>
          <w:sz w:val="21"/>
          <w:szCs w:val="21"/>
          <w:bdr w:val="none" w:sz="0" w:space="0" w:color="auto" w:frame="1"/>
        </w:rPr>
        <w:t>FY 2016 First Quarter Report (to come)</w:t>
      </w:r>
    </w:p>
    <w:p w:rsidR="00386C01" w:rsidRPr="00386C01" w:rsidRDefault="00FF3F75" w:rsidP="00386C01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38B1"/>
          <w:sz w:val="21"/>
          <w:szCs w:val="21"/>
          <w:bdr w:val="none" w:sz="0" w:space="0" w:color="auto" w:frame="1"/>
        </w:rPr>
      </w:pPr>
      <w:hyperlink r:id="rId12" w:history="1">
        <w:r w:rsidR="00386C01" w:rsidRPr="00386C01">
          <w:rPr>
            <w:rFonts w:ascii="inherit" w:eastAsia="Times New Roman" w:hAnsi="inherit" w:cs="Times New Roman"/>
            <w:color w:val="0038B1"/>
            <w:sz w:val="21"/>
            <w:szCs w:val="21"/>
            <w:bdr w:val="none" w:sz="0" w:space="0" w:color="auto" w:frame="1"/>
          </w:rPr>
          <w:t>Housing Production Trust Fund FY 2011 Fourth Quarter Report</w:t>
        </w:r>
      </w:hyperlink>
    </w:p>
    <w:p w:rsidR="00386C01" w:rsidRPr="00386C01" w:rsidRDefault="00FF3F75" w:rsidP="00386C01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13" w:history="1">
        <w:r w:rsidR="00386C01" w:rsidRPr="00386C01">
          <w:rPr>
            <w:rFonts w:ascii="inherit" w:eastAsia="Times New Roman" w:hAnsi="inherit" w:cs="Times New Roman"/>
            <w:color w:val="0038B1"/>
            <w:sz w:val="21"/>
            <w:szCs w:val="21"/>
            <w:bdr w:val="none" w:sz="0" w:space="0" w:color="auto" w:frame="1"/>
          </w:rPr>
          <w:t>Housing Production Trust Fund FY 2011 Third Quarter Report</w:t>
        </w:r>
      </w:hyperlink>
    </w:p>
    <w:p w:rsidR="00386C01" w:rsidRPr="00386C01" w:rsidRDefault="00FF3F75" w:rsidP="00386C01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14" w:history="1">
        <w:r w:rsidR="00386C01" w:rsidRPr="00386C01">
          <w:rPr>
            <w:rFonts w:ascii="inherit" w:eastAsia="Times New Roman" w:hAnsi="inherit" w:cs="Times New Roman"/>
            <w:color w:val="0038B1"/>
            <w:sz w:val="21"/>
            <w:szCs w:val="21"/>
            <w:bdr w:val="none" w:sz="0" w:space="0" w:color="auto" w:frame="1"/>
          </w:rPr>
          <w:t>Housing Production Trust Fund FY 2011 Second Quarter Report</w:t>
        </w:r>
      </w:hyperlink>
    </w:p>
    <w:p w:rsidR="00386C01" w:rsidRPr="00386C01" w:rsidRDefault="00FF3F75" w:rsidP="00386C01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15" w:history="1">
        <w:r w:rsidR="00386C01" w:rsidRPr="00386C01">
          <w:rPr>
            <w:rFonts w:ascii="inherit" w:eastAsia="Times New Roman" w:hAnsi="inherit" w:cs="Times New Roman"/>
            <w:color w:val="0038B1"/>
            <w:sz w:val="21"/>
            <w:szCs w:val="21"/>
            <w:bdr w:val="none" w:sz="0" w:space="0" w:color="auto" w:frame="1"/>
          </w:rPr>
          <w:t>Housing Production Trust Fund FY 2011 First Quarter Report</w:t>
        </w:r>
      </w:hyperlink>
    </w:p>
    <w:p w:rsidR="001B28DD" w:rsidRDefault="001B28DD"/>
    <w:p w:rsidR="0020452C" w:rsidRPr="006552A4" w:rsidRDefault="0020452C" w:rsidP="006552A4">
      <w:pPr>
        <w:pStyle w:val="Heading2"/>
        <w:rPr>
          <w:rStyle w:val="Strong"/>
        </w:rPr>
      </w:pPr>
      <w:r w:rsidRPr="006552A4">
        <w:rPr>
          <w:rStyle w:val="Strong"/>
        </w:rPr>
        <w:lastRenderedPageBreak/>
        <w:t>Related Content</w:t>
      </w:r>
    </w:p>
    <w:p w:rsidR="0020452C" w:rsidRDefault="006552A4">
      <w:hyperlink r:id="rId16" w:history="1">
        <w:r w:rsidR="0020452C" w:rsidRPr="006552A4">
          <w:rPr>
            <w:rStyle w:val="Hyperlink"/>
          </w:rPr>
          <w:t>Housing Production Trust Fund Advisory Board</w:t>
        </w:r>
      </w:hyperlink>
    </w:p>
    <w:sectPr w:rsidR="00204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03D"/>
    <w:multiLevelType w:val="multilevel"/>
    <w:tmpl w:val="14FE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352133"/>
    <w:multiLevelType w:val="hybridMultilevel"/>
    <w:tmpl w:val="83FAA44C"/>
    <w:lvl w:ilvl="0" w:tplc="5640714A">
      <w:start w:val="1"/>
      <w:numFmt w:val="upp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F6F39EA"/>
    <w:multiLevelType w:val="hybridMultilevel"/>
    <w:tmpl w:val="FF2E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E7C1A"/>
    <w:multiLevelType w:val="hybridMultilevel"/>
    <w:tmpl w:val="4C4EDB28"/>
    <w:lvl w:ilvl="0" w:tplc="B504CCB2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239307CF"/>
    <w:multiLevelType w:val="hybridMultilevel"/>
    <w:tmpl w:val="601CA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4412F2"/>
    <w:multiLevelType w:val="multilevel"/>
    <w:tmpl w:val="F920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FA48DF"/>
    <w:multiLevelType w:val="hybridMultilevel"/>
    <w:tmpl w:val="8CEA7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11CDF"/>
    <w:multiLevelType w:val="multilevel"/>
    <w:tmpl w:val="8E08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887F5E"/>
    <w:multiLevelType w:val="multilevel"/>
    <w:tmpl w:val="1B72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AE08F7"/>
    <w:multiLevelType w:val="multilevel"/>
    <w:tmpl w:val="524A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103648"/>
    <w:multiLevelType w:val="multilevel"/>
    <w:tmpl w:val="6E2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C24E37"/>
    <w:multiLevelType w:val="multilevel"/>
    <w:tmpl w:val="8F7C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95495A"/>
    <w:multiLevelType w:val="multilevel"/>
    <w:tmpl w:val="9616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01"/>
    <w:rsid w:val="000E4F24"/>
    <w:rsid w:val="001B28DD"/>
    <w:rsid w:val="001F2995"/>
    <w:rsid w:val="0020452C"/>
    <w:rsid w:val="00260B21"/>
    <w:rsid w:val="002C3CA4"/>
    <w:rsid w:val="00386C01"/>
    <w:rsid w:val="003E0583"/>
    <w:rsid w:val="00493E55"/>
    <w:rsid w:val="004D4788"/>
    <w:rsid w:val="005D5111"/>
    <w:rsid w:val="005D6A6F"/>
    <w:rsid w:val="006552A4"/>
    <w:rsid w:val="0071433E"/>
    <w:rsid w:val="008C0692"/>
    <w:rsid w:val="009C67A6"/>
    <w:rsid w:val="00A261E6"/>
    <w:rsid w:val="00B65AEF"/>
    <w:rsid w:val="00BC3F38"/>
    <w:rsid w:val="00CC61E9"/>
    <w:rsid w:val="00CD5424"/>
    <w:rsid w:val="00CF6F30"/>
    <w:rsid w:val="00DC689A"/>
    <w:rsid w:val="00E03CD3"/>
    <w:rsid w:val="00EF647E"/>
    <w:rsid w:val="00F57627"/>
    <w:rsid w:val="00F84C66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4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4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86C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6C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86C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C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5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54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CD542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D54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4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4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86C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6C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86C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C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5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54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CD542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D54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hcd.dc.gov/sites/default/files/dc/sites/dhcd/publication/attachments/13%20HPTF%20Annual%20Final%203-16%20revised%204-12.pdf" TargetMode="External"/><Relationship Id="rId13" Type="http://schemas.openxmlformats.org/officeDocument/2006/relationships/hyperlink" Target="https://dhcd.dc.gov/node/6524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hcd.dc.gov/node/1203770" TargetMode="External"/><Relationship Id="rId12" Type="http://schemas.openxmlformats.org/officeDocument/2006/relationships/hyperlink" Target="https://dhcd.dc.gov/node/1062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hcd.dc.gov/page/housing-production-trust-fund-advisory-boar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hcd.dc.gov/node/1226761" TargetMode="External"/><Relationship Id="rId11" Type="http://schemas.openxmlformats.org/officeDocument/2006/relationships/hyperlink" Target="https://dhcd.dc.gov/node/652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hcd.dc.gov/node/65222" TargetMode="External"/><Relationship Id="rId10" Type="http://schemas.openxmlformats.org/officeDocument/2006/relationships/hyperlink" Target="https://dhcd.dc.gov/node/5408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hcd.dc.gov/node/559932" TargetMode="External"/><Relationship Id="rId14" Type="http://schemas.openxmlformats.org/officeDocument/2006/relationships/hyperlink" Target="https://dhcd.dc.gov/node/65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Cofield</dc:creator>
  <cp:lastModifiedBy>Gwen Cofield</cp:lastModifiedBy>
  <cp:revision>2</cp:revision>
  <dcterms:created xsi:type="dcterms:W3CDTF">2017-04-05T17:35:00Z</dcterms:created>
  <dcterms:modified xsi:type="dcterms:W3CDTF">2017-04-07T17:26:00Z</dcterms:modified>
</cp:coreProperties>
</file>